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4536"/>
        <w:gridCol w:w="4606"/>
      </w:tblGrid>
      <w:tr w:rsidR="00A33063" w:rsidRPr="00A33063" w:rsidTr="00A33063">
        <w:trPr>
          <w:trHeight w:val="384"/>
          <w:jc w:val="center"/>
        </w:trPr>
        <w:tc>
          <w:tcPr>
            <w:tcW w:w="9142" w:type="dxa"/>
            <w:gridSpan w:val="2"/>
            <w:shd w:val="clear" w:color="auto" w:fill="D9D9D9"/>
            <w:vAlign w:val="center"/>
          </w:tcPr>
          <w:p w:rsidR="00A33063" w:rsidRPr="00A33063" w:rsidRDefault="00A33063" w:rsidP="00A33063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  <w:t>PRZYKŁADY PRZEDSIĘWZIĘĆ WYMAGAJĄCYCH UZYSKANIA DECYZJI ŚRODOWISKOWEJ</w:t>
            </w:r>
          </w:p>
        </w:tc>
      </w:tr>
      <w:tr w:rsidR="00A33063" w:rsidRPr="00A33063" w:rsidTr="007C0022">
        <w:trPr>
          <w:trHeight w:val="287"/>
          <w:jc w:val="center"/>
        </w:trPr>
        <w:tc>
          <w:tcPr>
            <w:tcW w:w="4536" w:type="dxa"/>
            <w:vAlign w:val="center"/>
          </w:tcPr>
          <w:p w:rsidR="00A33063" w:rsidRPr="00A33063" w:rsidRDefault="00A33063" w:rsidP="00A33063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  <w:t>zawsze znacząco oddziałujące na środowisko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b/>
                <w:color w:val="000000"/>
                <w:sz w:val="18"/>
                <w:szCs w:val="21"/>
              </w:rPr>
              <w:t>potencjalnie znacząco oddziałujące na środowisko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do odzysku lub unieszkodliwiania odpadów niebezpiecznych, w tym składowiska odpadów niebezpiecznych oraz miejsca retencji powierzchniowej odpadów niebezpiecznych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związane z odzyskiem lub unieszkodliwianiem odpadów, inne niż zaliczane do przedsięwzięć zawsze znacząco oddziałujących na środowisko, z wyłączeniem instalacji do wytwarzania biogazu rolniczego w rozumieniu przepisów ustawy z dnia 10 kwietnia 1997 r. - Prawo energetyczne o zainstalowanej mocy elektrycznej nie większej niż 0,5 MW lub wytwarzających ekwiwalentną ilość biogazu rolniczego wykorzystywanego do innych celów niż produkcja energii elektrycznej, a także miejsca retencji powierzchniowej odpadów oraz rekultywacja składowisk odpadów;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stacje demontażu w rozumieniu ustawy z dnia 20 stycznia 2005 r. o recyklingu pojazdów wycofanych z eksploatacji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punkty do zbierania lub przeładunku złomu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zakłady przetwarzania:</w:t>
            </w:r>
          </w:p>
          <w:p w:rsidR="00A33063" w:rsidRPr="00A33063" w:rsidRDefault="00A33063" w:rsidP="00A3306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 xml:space="preserve">w rozumieniu ustawy z dnia 29 lipca 2005 r. o zużytym sprzęcie elektrycznym i elektronicznym (Dz. U. z 2013 r. poz. 1155, z </w:t>
            </w:r>
            <w:proofErr w:type="spellStart"/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późn</w:t>
            </w:r>
            <w:proofErr w:type="spellEnd"/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. zm.), w których jest przetwarzany zużyty sprzęt zawierający substancje lub mieszaniny niebezpieczne,</w:t>
            </w:r>
          </w:p>
          <w:p w:rsidR="00A33063" w:rsidRPr="00A33063" w:rsidRDefault="00A33063" w:rsidP="00A3306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zużytych baterii lub zużytych akumulatorów, o których mowa w art. 63 ust. 1 pkt 2 lub ust. 2 ustawy z dnia 24 kwietnia 2009 r. o bateriach i akumulatorach                 (Dz. U. z 2015 r. poz. 687 i 1688), prowadzące przetwarzanie i recykling zużytych baterii                                i akumulatorów stanowiących odpad niebezpieczny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23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do oczyszczania ścieków przemysłowych                         z wyłączeniem instalacji, które nie powodują wprowadzania do wód lub urządzeń ścieków zawierających substancje szczególnie szkodliwe dla środowiska wodnego, wymienione w załączniku nr 11 do rozporządzenia Ministra Środowiska               z dnia 24 lipca 2006 r. w sprawie warunków, jakie należy spełnić przy wprowadzaniu ścieków do wód lub do ziemi, oraz w sprawie substancji szczególnie szkodliwych dla środowiska wodnego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Merge w:val="restart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chów lub hodowla zwierząt w liczbie nie mniejszej niż 210 dużych jednostek przeliczeniowych inwentarza (DJP - przy czym za liczbę DJP przyjmuje się maksymalną możliwą obsadę inwentarza)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 xml:space="preserve">chów lub hodowla zwierząt w liczbie nie mniejszej niż 60 dużych jednostek przeliczeniowych inwentarza (DJP) 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Merge/>
            <w:vAlign w:val="center"/>
          </w:tcPr>
          <w:p w:rsidR="00A33063" w:rsidRPr="00A33063" w:rsidRDefault="00A33063" w:rsidP="00A33063">
            <w:p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chów lub hodowla zwierząt w liczbie nie mniejszej niż 40 dużych jednostek przeliczeniowych inwentarza (DJP), jeżeli działalność ta prowadzona będzie:</w:t>
            </w:r>
          </w:p>
          <w:p w:rsidR="00A33063" w:rsidRPr="00A33063" w:rsidRDefault="00A33063" w:rsidP="00A33063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w odległości mniejszej niż 100 m od następujących terenów w rozumieniu przepisów rozporządzenia Ministra Rozwoju Regionalnego i Budownictwa z dnia 29 marca 2001 r. w sprawie ewidencji gruntów                          i budynków, nie uwzględniając nieruchomości gospodarstwa, na którego terenie chów lub hodowla będą prowadzone:</w:t>
            </w:r>
          </w:p>
          <w:p w:rsidR="00A33063" w:rsidRPr="00A33063" w:rsidRDefault="00A33063" w:rsidP="00A33063">
            <w:pPr>
              <w:numPr>
                <w:ilvl w:val="0"/>
                <w:numId w:val="22"/>
              </w:numPr>
              <w:ind w:left="120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mieszkaniowych,</w:t>
            </w:r>
          </w:p>
          <w:p w:rsidR="00A33063" w:rsidRPr="00A33063" w:rsidRDefault="00A33063" w:rsidP="00A33063">
            <w:pPr>
              <w:numPr>
                <w:ilvl w:val="0"/>
                <w:numId w:val="22"/>
              </w:numPr>
              <w:ind w:left="120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innych zabudowanych z wyłączeniem cmentarzy i grzebowisk dla zwierząt,</w:t>
            </w:r>
          </w:p>
          <w:p w:rsidR="00A33063" w:rsidRPr="00A33063" w:rsidRDefault="00A33063" w:rsidP="00A33063">
            <w:pPr>
              <w:numPr>
                <w:ilvl w:val="0"/>
                <w:numId w:val="22"/>
              </w:numPr>
              <w:ind w:left="120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zurbanizowanych niezabudowanych,</w:t>
            </w:r>
          </w:p>
          <w:p w:rsidR="00A33063" w:rsidRPr="00A33063" w:rsidRDefault="00A33063" w:rsidP="00A33063">
            <w:pPr>
              <w:numPr>
                <w:ilvl w:val="0"/>
                <w:numId w:val="22"/>
              </w:numPr>
              <w:ind w:left="120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rekreacyjno-wypoczynkowych z wyłączeniem kurhanów, pomników przyrody oraz terenów zieleni nieurządzonej niezaliczonej do lasów oraz gruntów zadrzewionych i zakrzewionych,</w:t>
            </w:r>
          </w:p>
          <w:p w:rsidR="00A33063" w:rsidRPr="00A33063" w:rsidRDefault="00A33063" w:rsidP="00A33063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na obszarach objętych formami ochrony przyrody,                  o których mowa w art. 6 ust. 1 pkt 1-5, 8 i 9 ustawy z dnia 16 kwietnia 2004 r. o ochronie przyrody, lub w otulinach form ochrony przyrody, o których mowa w art. 6 ust. 1 pkt 1-3 tej ustawy</w:t>
            </w:r>
          </w:p>
        </w:tc>
      </w:tr>
      <w:tr w:rsidR="00A33063" w:rsidRPr="00A33063" w:rsidTr="007C0022">
        <w:trPr>
          <w:jc w:val="center"/>
        </w:trPr>
        <w:tc>
          <w:tcPr>
            <w:tcW w:w="453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wykorzystujące do wytwarzania energii elektrycznej energię wiatru o łącznej mocy nominalnej elektrowni nie mniejszej niż 100 MW oraz lokalizowane na obszarach morskich Rzeczypospolitej Polskiej</w:t>
            </w: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 w:hanging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wykorzystujące do wytwarzania energii elektrycznej energię wiatru inne niż zaliczane do przedsięwzięć zawsze znacząco oddziałujących na środowisko:</w:t>
            </w:r>
          </w:p>
          <w:p w:rsidR="00A33063" w:rsidRPr="00A33063" w:rsidRDefault="00A33063" w:rsidP="00A33063">
            <w:pPr>
              <w:numPr>
                <w:ilvl w:val="0"/>
                <w:numId w:val="20"/>
              </w:numPr>
              <w:ind w:left="920" w:hanging="284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lokalizowane na obszarach objętych formami ochrony przyrody, o których mowa w art. 6 ust. 1 pkt 1-5, 8 i 9 ustawy z dnia 16 kwietnia 2004 r. o ochronie przyrody (Dz. U. z 2015 r. poz. 1651, 1688 i 1936), z wyłączeniem instalacji przeznaczonych wyłącznie do zasilania znaków drogowych                           i kolejowych, urządzeń sterujących lub monitorujących ruch drogowy lub kolejowy, znaków nawigacyjnych, urządzeń oświetleniowych, billboardów i tablic reklamowych,</w:t>
            </w:r>
          </w:p>
          <w:p w:rsidR="00A33063" w:rsidRPr="00A33063" w:rsidRDefault="00A33063" w:rsidP="00A33063">
            <w:pPr>
              <w:numPr>
                <w:ilvl w:val="0"/>
                <w:numId w:val="20"/>
              </w:numPr>
              <w:ind w:left="494" w:hanging="284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lastRenderedPageBreak/>
              <w:t>o całkowitej wysokości nie niższej niż 30 m.</w:t>
            </w:r>
          </w:p>
        </w:tc>
      </w:tr>
      <w:tr w:rsidR="00A33063" w:rsidRPr="00A33063" w:rsidTr="007C0022">
        <w:trPr>
          <w:trHeight w:val="757"/>
          <w:jc w:val="center"/>
        </w:trPr>
        <w:tc>
          <w:tcPr>
            <w:tcW w:w="4536" w:type="dxa"/>
            <w:vMerge w:val="restart"/>
            <w:vAlign w:val="center"/>
          </w:tcPr>
          <w:p w:rsidR="00A33063" w:rsidRPr="00A33063" w:rsidRDefault="00A33063" w:rsidP="00A33063">
            <w:p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do przetwórstwa owoców, warzyw, ryb lub produktów pochodzenia zwierzęcego, z wyłączeniem tłuszczów zwierzęcych, o zdolności produkcyjnej nie mniejszej niż 50 t na rok;</w:t>
            </w:r>
          </w:p>
        </w:tc>
      </w:tr>
      <w:tr w:rsidR="00A33063" w:rsidRPr="00A33063" w:rsidTr="007C0022">
        <w:trPr>
          <w:trHeight w:val="344"/>
          <w:jc w:val="center"/>
        </w:trPr>
        <w:tc>
          <w:tcPr>
            <w:tcW w:w="4536" w:type="dxa"/>
            <w:vMerge/>
            <w:vAlign w:val="center"/>
          </w:tcPr>
          <w:p w:rsidR="00A33063" w:rsidRPr="00A33063" w:rsidRDefault="00A33063" w:rsidP="00A33063">
            <w:p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do produkcji mleka lub wyrobów mleczarskich,                   o zdolności produkcyjnej nie mniejszej niż 50 t na rok</w:t>
            </w:r>
          </w:p>
        </w:tc>
      </w:tr>
      <w:tr w:rsidR="00A33063" w:rsidRPr="00A33063" w:rsidTr="007C0022">
        <w:trPr>
          <w:trHeight w:val="336"/>
          <w:jc w:val="center"/>
        </w:trPr>
        <w:tc>
          <w:tcPr>
            <w:tcW w:w="4536" w:type="dxa"/>
            <w:vMerge/>
            <w:vAlign w:val="center"/>
          </w:tcPr>
          <w:p w:rsidR="00A33063" w:rsidRPr="00A33063" w:rsidRDefault="00A33063" w:rsidP="00A33063">
            <w:p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A33063" w:rsidRPr="00A33063" w:rsidRDefault="00A33063" w:rsidP="00A33063">
            <w:pPr>
              <w:numPr>
                <w:ilvl w:val="0"/>
                <w:numId w:val="18"/>
              </w:numPr>
              <w:ind w:left="353"/>
              <w:contextualSpacing/>
              <w:jc w:val="both"/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</w:pPr>
            <w:r w:rsidRPr="00A33063">
              <w:rPr>
                <w:rFonts w:ascii="Arial Narrow" w:eastAsia="Calibri" w:hAnsi="Arial Narrow" w:cs="Arial"/>
                <w:color w:val="000000"/>
                <w:sz w:val="18"/>
                <w:szCs w:val="21"/>
              </w:rPr>
              <w:t>instalacje do uboju zwierząt</w:t>
            </w:r>
          </w:p>
        </w:tc>
      </w:tr>
    </w:tbl>
    <w:p w:rsidR="00A33063" w:rsidRPr="00A33063" w:rsidRDefault="00A33063" w:rsidP="00A33063">
      <w:pPr>
        <w:spacing w:after="0"/>
        <w:jc w:val="both"/>
        <w:rPr>
          <w:rFonts w:ascii="Arial Narrow" w:eastAsia="Calibri" w:hAnsi="Arial Narrow" w:cs="Arial"/>
          <w:color w:val="000000"/>
          <w:szCs w:val="21"/>
        </w:rPr>
      </w:pPr>
    </w:p>
    <w:sectPr w:rsidR="00A33063" w:rsidRPr="00A33063" w:rsidSect="00A0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70F"/>
    <w:multiLevelType w:val="hybridMultilevel"/>
    <w:tmpl w:val="7EA2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8D5"/>
    <w:multiLevelType w:val="hybridMultilevel"/>
    <w:tmpl w:val="E0E2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8EA"/>
    <w:multiLevelType w:val="hybridMultilevel"/>
    <w:tmpl w:val="56F4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773F"/>
    <w:multiLevelType w:val="hybridMultilevel"/>
    <w:tmpl w:val="2508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23A3B"/>
    <w:multiLevelType w:val="hybridMultilevel"/>
    <w:tmpl w:val="720EDF90"/>
    <w:lvl w:ilvl="0" w:tplc="9AB480F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4715B"/>
    <w:multiLevelType w:val="hybridMultilevel"/>
    <w:tmpl w:val="E6DE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D42E0"/>
    <w:multiLevelType w:val="hybridMultilevel"/>
    <w:tmpl w:val="2410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02AF"/>
    <w:multiLevelType w:val="hybridMultilevel"/>
    <w:tmpl w:val="37565624"/>
    <w:lvl w:ilvl="0" w:tplc="479A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7F63"/>
    <w:multiLevelType w:val="hybridMultilevel"/>
    <w:tmpl w:val="33D83576"/>
    <w:lvl w:ilvl="0" w:tplc="9FCCD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54ED2"/>
    <w:multiLevelType w:val="hybridMultilevel"/>
    <w:tmpl w:val="304A1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26196"/>
    <w:multiLevelType w:val="hybridMultilevel"/>
    <w:tmpl w:val="C1EE7FCE"/>
    <w:lvl w:ilvl="0" w:tplc="90B6FFD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5721"/>
    <w:multiLevelType w:val="hybridMultilevel"/>
    <w:tmpl w:val="C920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1077"/>
    <w:multiLevelType w:val="hybridMultilevel"/>
    <w:tmpl w:val="88FC9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3B09"/>
    <w:multiLevelType w:val="hybridMultilevel"/>
    <w:tmpl w:val="2A02F57C"/>
    <w:lvl w:ilvl="0" w:tplc="4928DA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9442F"/>
    <w:multiLevelType w:val="hybridMultilevel"/>
    <w:tmpl w:val="0980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446E0"/>
    <w:multiLevelType w:val="multilevel"/>
    <w:tmpl w:val="86E80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  <w:sz w:val="22"/>
      </w:rPr>
    </w:lvl>
  </w:abstractNum>
  <w:abstractNum w:abstractNumId="16">
    <w:nsid w:val="41326797"/>
    <w:multiLevelType w:val="hybridMultilevel"/>
    <w:tmpl w:val="C65C3F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2B67C33"/>
    <w:multiLevelType w:val="hybridMultilevel"/>
    <w:tmpl w:val="EAB6EAFE"/>
    <w:lvl w:ilvl="0" w:tplc="9AB480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07C"/>
    <w:multiLevelType w:val="hybridMultilevel"/>
    <w:tmpl w:val="B9FCA5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72AB"/>
    <w:multiLevelType w:val="hybridMultilevel"/>
    <w:tmpl w:val="20166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23588"/>
    <w:multiLevelType w:val="hybridMultilevel"/>
    <w:tmpl w:val="D2800FA8"/>
    <w:lvl w:ilvl="0" w:tplc="479A4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55E47"/>
    <w:multiLevelType w:val="hybridMultilevel"/>
    <w:tmpl w:val="A9F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278E5"/>
    <w:multiLevelType w:val="hybridMultilevel"/>
    <w:tmpl w:val="3BD490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F23208"/>
    <w:multiLevelType w:val="hybridMultilevel"/>
    <w:tmpl w:val="05FE19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7B43"/>
    <w:multiLevelType w:val="hybridMultilevel"/>
    <w:tmpl w:val="F752C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0818"/>
    <w:multiLevelType w:val="hybridMultilevel"/>
    <w:tmpl w:val="4D76FD22"/>
    <w:lvl w:ilvl="0" w:tplc="479A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E1F76"/>
    <w:multiLevelType w:val="hybridMultilevel"/>
    <w:tmpl w:val="54FEF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9740C"/>
    <w:multiLevelType w:val="hybridMultilevel"/>
    <w:tmpl w:val="96F49E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24704"/>
    <w:multiLevelType w:val="hybridMultilevel"/>
    <w:tmpl w:val="6D10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D60BE"/>
    <w:multiLevelType w:val="hybridMultilevel"/>
    <w:tmpl w:val="F2E6E2B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AD2B36"/>
    <w:multiLevelType w:val="hybridMultilevel"/>
    <w:tmpl w:val="EDFC5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42AA5"/>
    <w:multiLevelType w:val="hybridMultilevel"/>
    <w:tmpl w:val="B0CC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74CD6"/>
    <w:multiLevelType w:val="hybridMultilevel"/>
    <w:tmpl w:val="C63444DE"/>
    <w:lvl w:ilvl="0" w:tplc="479A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F309C"/>
    <w:multiLevelType w:val="multilevel"/>
    <w:tmpl w:val="FC806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>
    <w:nsid w:val="6B84637E"/>
    <w:multiLevelType w:val="hybridMultilevel"/>
    <w:tmpl w:val="2954DBFE"/>
    <w:lvl w:ilvl="0" w:tplc="9AB480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71275"/>
    <w:multiLevelType w:val="hybridMultilevel"/>
    <w:tmpl w:val="70F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15626"/>
    <w:multiLevelType w:val="hybridMultilevel"/>
    <w:tmpl w:val="499080A0"/>
    <w:lvl w:ilvl="0" w:tplc="C388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36"/>
  </w:num>
  <w:num w:numId="5">
    <w:abstractNumId w:val="31"/>
  </w:num>
  <w:num w:numId="6">
    <w:abstractNumId w:val="8"/>
  </w:num>
  <w:num w:numId="7">
    <w:abstractNumId w:val="26"/>
  </w:num>
  <w:num w:numId="8">
    <w:abstractNumId w:val="11"/>
  </w:num>
  <w:num w:numId="9">
    <w:abstractNumId w:val="33"/>
  </w:num>
  <w:num w:numId="10">
    <w:abstractNumId w:val="29"/>
  </w:num>
  <w:num w:numId="11">
    <w:abstractNumId w:val="3"/>
  </w:num>
  <w:num w:numId="12">
    <w:abstractNumId w:val="22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  <w:num w:numId="17">
    <w:abstractNumId w:val="35"/>
  </w:num>
  <w:num w:numId="18">
    <w:abstractNumId w:val="17"/>
  </w:num>
  <w:num w:numId="19">
    <w:abstractNumId w:val="25"/>
  </w:num>
  <w:num w:numId="20">
    <w:abstractNumId w:val="20"/>
  </w:num>
  <w:num w:numId="21">
    <w:abstractNumId w:val="30"/>
  </w:num>
  <w:num w:numId="22">
    <w:abstractNumId w:val="32"/>
  </w:num>
  <w:num w:numId="23">
    <w:abstractNumId w:val="34"/>
  </w:num>
  <w:num w:numId="24">
    <w:abstractNumId w:val="16"/>
  </w:num>
  <w:num w:numId="25">
    <w:abstractNumId w:val="14"/>
  </w:num>
  <w:num w:numId="26">
    <w:abstractNumId w:val="23"/>
  </w:num>
  <w:num w:numId="27">
    <w:abstractNumId w:val="7"/>
  </w:num>
  <w:num w:numId="28">
    <w:abstractNumId w:val="27"/>
  </w:num>
  <w:num w:numId="29">
    <w:abstractNumId w:val="9"/>
  </w:num>
  <w:num w:numId="30">
    <w:abstractNumId w:val="5"/>
  </w:num>
  <w:num w:numId="31">
    <w:abstractNumId w:val="13"/>
  </w:num>
  <w:num w:numId="32">
    <w:abstractNumId w:val="24"/>
  </w:num>
  <w:num w:numId="33">
    <w:abstractNumId w:val="1"/>
  </w:num>
  <w:num w:numId="34">
    <w:abstractNumId w:val="21"/>
  </w:num>
  <w:num w:numId="35">
    <w:abstractNumId w:val="18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0C64A5"/>
    <w:rsid w:val="00045E09"/>
    <w:rsid w:val="000C4009"/>
    <w:rsid w:val="000C64A5"/>
    <w:rsid w:val="000E295B"/>
    <w:rsid w:val="0010453A"/>
    <w:rsid w:val="001103EE"/>
    <w:rsid w:val="00112E24"/>
    <w:rsid w:val="001246E6"/>
    <w:rsid w:val="001448BE"/>
    <w:rsid w:val="00152721"/>
    <w:rsid w:val="00177879"/>
    <w:rsid w:val="00180F91"/>
    <w:rsid w:val="00193AD1"/>
    <w:rsid w:val="001D3F4A"/>
    <w:rsid w:val="001D786D"/>
    <w:rsid w:val="00236E08"/>
    <w:rsid w:val="00271E84"/>
    <w:rsid w:val="00294198"/>
    <w:rsid w:val="002A1918"/>
    <w:rsid w:val="002A5412"/>
    <w:rsid w:val="002B60B8"/>
    <w:rsid w:val="00300EC9"/>
    <w:rsid w:val="0039164E"/>
    <w:rsid w:val="003F2C6F"/>
    <w:rsid w:val="00411EF4"/>
    <w:rsid w:val="004B12B1"/>
    <w:rsid w:val="00502DEE"/>
    <w:rsid w:val="005426D8"/>
    <w:rsid w:val="005540D4"/>
    <w:rsid w:val="00574A79"/>
    <w:rsid w:val="005A4345"/>
    <w:rsid w:val="005A4534"/>
    <w:rsid w:val="005C247E"/>
    <w:rsid w:val="005E1466"/>
    <w:rsid w:val="006016F3"/>
    <w:rsid w:val="006064B6"/>
    <w:rsid w:val="00630BD3"/>
    <w:rsid w:val="006505E2"/>
    <w:rsid w:val="00651D48"/>
    <w:rsid w:val="00657B2D"/>
    <w:rsid w:val="006A780A"/>
    <w:rsid w:val="006A7ADB"/>
    <w:rsid w:val="006F5470"/>
    <w:rsid w:val="00711473"/>
    <w:rsid w:val="007243D0"/>
    <w:rsid w:val="00782114"/>
    <w:rsid w:val="007971DE"/>
    <w:rsid w:val="00803386"/>
    <w:rsid w:val="00811C10"/>
    <w:rsid w:val="00846E65"/>
    <w:rsid w:val="00895748"/>
    <w:rsid w:val="008A3EAA"/>
    <w:rsid w:val="008A52DB"/>
    <w:rsid w:val="00901CCA"/>
    <w:rsid w:val="0091795F"/>
    <w:rsid w:val="00921E34"/>
    <w:rsid w:val="00956BF9"/>
    <w:rsid w:val="0097350E"/>
    <w:rsid w:val="0098721D"/>
    <w:rsid w:val="009C5FCC"/>
    <w:rsid w:val="00A053FA"/>
    <w:rsid w:val="00A12269"/>
    <w:rsid w:val="00A24B60"/>
    <w:rsid w:val="00A33063"/>
    <w:rsid w:val="00A43CD9"/>
    <w:rsid w:val="00A60B85"/>
    <w:rsid w:val="00A62A24"/>
    <w:rsid w:val="00A80671"/>
    <w:rsid w:val="00AA158C"/>
    <w:rsid w:val="00AB5386"/>
    <w:rsid w:val="00AC306E"/>
    <w:rsid w:val="00AE1CC0"/>
    <w:rsid w:val="00B0270B"/>
    <w:rsid w:val="00B060B4"/>
    <w:rsid w:val="00B456D6"/>
    <w:rsid w:val="00BA4BF9"/>
    <w:rsid w:val="00C56407"/>
    <w:rsid w:val="00C60EB0"/>
    <w:rsid w:val="00C77119"/>
    <w:rsid w:val="00D30979"/>
    <w:rsid w:val="00D63704"/>
    <w:rsid w:val="00D710E9"/>
    <w:rsid w:val="00DA1CD0"/>
    <w:rsid w:val="00E30F47"/>
    <w:rsid w:val="00EA17A1"/>
    <w:rsid w:val="00EC0BD7"/>
    <w:rsid w:val="00EE4994"/>
    <w:rsid w:val="00F01E1F"/>
    <w:rsid w:val="00F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4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A3EAA"/>
  </w:style>
  <w:style w:type="character" w:styleId="Uwydatnienie">
    <w:name w:val="Emphasis"/>
    <w:basedOn w:val="Domylnaczcionkaakapitu"/>
    <w:uiPriority w:val="20"/>
    <w:qFormat/>
    <w:rsid w:val="00A60B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51D48"/>
    <w:rPr>
      <w:color w:val="0000FF"/>
      <w:u w:val="single"/>
    </w:rPr>
  </w:style>
  <w:style w:type="table" w:styleId="Tabela-Siatka">
    <w:name w:val="Table Grid"/>
    <w:basedOn w:val="Standardowy"/>
    <w:uiPriority w:val="59"/>
    <w:rsid w:val="00A3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Vadim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ewelina.biernat</dc:creator>
  <cp:lastModifiedBy>Sylwester Bręczewski</cp:lastModifiedBy>
  <cp:revision>2</cp:revision>
  <dcterms:created xsi:type="dcterms:W3CDTF">2017-07-12T15:36:00Z</dcterms:created>
  <dcterms:modified xsi:type="dcterms:W3CDTF">2017-07-12T15:36:00Z</dcterms:modified>
</cp:coreProperties>
</file>